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Pr="009C06D1" w:rsidRDefault="00AA69CF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080"/>
        <w:gridCol w:w="1090"/>
        <w:gridCol w:w="1170"/>
        <w:gridCol w:w="990"/>
        <w:gridCol w:w="1188"/>
        <w:gridCol w:w="1188"/>
        <w:gridCol w:w="1203"/>
      </w:tblGrid>
      <w:tr w:rsidR="009C06D1" w:rsidRPr="009C06D1" w:rsidTr="002118F7">
        <w:tc>
          <w:tcPr>
            <w:tcW w:w="4068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80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188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188" w:type="dxa"/>
            <w:shd w:val="clear" w:color="auto" w:fill="B2A1C7" w:themeFill="accent4" w:themeFillTint="99"/>
          </w:tcPr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AVERAGE</w:t>
            </w:r>
          </w:p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PERCENT</w:t>
            </w:r>
          </w:p>
          <w:p w:rsidR="009C06D1" w:rsidRPr="009C06D1" w:rsidRDefault="009C06D1" w:rsidP="0051730E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PROFICIENT</w:t>
            </w:r>
          </w:p>
        </w:tc>
      </w:tr>
      <w:tr w:rsidR="009C06D1" w:rsidRPr="009C06D1" w:rsidTr="001E5CFB">
        <w:tc>
          <w:tcPr>
            <w:tcW w:w="11952" w:type="dxa"/>
            <w:gridSpan w:val="8"/>
          </w:tcPr>
          <w:p w:rsidR="009C06D1" w:rsidRPr="009C06D1" w:rsidRDefault="009C06D1" w:rsidP="00D9588B">
            <w:pPr>
              <w:jc w:val="center"/>
              <w:rPr>
                <w:b/>
                <w:sz w:val="32"/>
                <w:szCs w:val="32"/>
              </w:rPr>
            </w:pPr>
            <w:r w:rsidRPr="009C06D1">
              <w:rPr>
                <w:b/>
                <w:color w:val="FF0000"/>
                <w:sz w:val="32"/>
                <w:szCs w:val="32"/>
              </w:rPr>
              <w:t>WORD STUDY</w:t>
            </w:r>
          </w:p>
        </w:tc>
      </w:tr>
      <w:tr w:rsidR="009C06D1" w:rsidRPr="009C06D1" w:rsidTr="002118F7">
        <w:tc>
          <w:tcPr>
            <w:tcW w:w="4068" w:type="dxa"/>
            <w:vMerge w:val="restart"/>
          </w:tcPr>
          <w:p w:rsidR="009C06D1" w:rsidRPr="009C06D1" w:rsidRDefault="009C06D1" w:rsidP="00C57D1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R.WS.07.07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in context, determine the meaning of words and phrases including cross-cultural expressions, mathematical expressions, scientific procedures, and literary terms using strategies and authentic content-related resources.</w:t>
            </w:r>
          </w:p>
          <w:p w:rsidR="009C06D1" w:rsidRPr="009C06D1" w:rsidRDefault="009C06D1" w:rsidP="00C57D1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3</w:t>
            </w:r>
          </w:p>
        </w:tc>
        <w:tc>
          <w:tcPr>
            <w:tcW w:w="108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7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8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188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88" w:type="dxa"/>
            <w:vMerge w:val="restart"/>
          </w:tcPr>
          <w:p w:rsidR="009C06D1" w:rsidRPr="009C06D1" w:rsidRDefault="004878E1" w:rsidP="00866241">
            <w:pPr>
              <w:jc w:val="center"/>
              <w:rPr>
                <w:b/>
              </w:rPr>
            </w:pPr>
            <w:r>
              <w:rPr>
                <w:b/>
              </w:rPr>
              <w:t>45%</w:t>
            </w: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9</w:t>
            </w:r>
          </w:p>
        </w:tc>
        <w:tc>
          <w:tcPr>
            <w:tcW w:w="108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99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88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188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28</w:t>
            </w:r>
          </w:p>
        </w:tc>
        <w:tc>
          <w:tcPr>
            <w:tcW w:w="108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7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90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88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88" w:type="dxa"/>
          </w:tcPr>
          <w:p w:rsidR="009C06D1" w:rsidRPr="009C06D1" w:rsidRDefault="00D62007" w:rsidP="00866241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6C137C">
        <w:tc>
          <w:tcPr>
            <w:tcW w:w="11952" w:type="dxa"/>
            <w:gridSpan w:val="8"/>
          </w:tcPr>
          <w:p w:rsidR="009C06D1" w:rsidRPr="009C06D1" w:rsidRDefault="009C06D1" w:rsidP="00D9588B">
            <w:pPr>
              <w:jc w:val="center"/>
              <w:rPr>
                <w:b/>
                <w:sz w:val="32"/>
                <w:szCs w:val="32"/>
              </w:rPr>
            </w:pPr>
            <w:r w:rsidRPr="009C06D1">
              <w:rPr>
                <w:b/>
                <w:color w:val="FF0000"/>
                <w:sz w:val="32"/>
                <w:szCs w:val="32"/>
              </w:rPr>
              <w:t>NARRATIVE TEXT</w:t>
            </w:r>
          </w:p>
        </w:tc>
      </w:tr>
      <w:tr w:rsidR="009C06D1" w:rsidRPr="009C06D1" w:rsidTr="002118F7">
        <w:tc>
          <w:tcPr>
            <w:tcW w:w="4068" w:type="dxa"/>
            <w:vMerge w:val="restart"/>
          </w:tcPr>
          <w:p w:rsidR="009C06D1" w:rsidRPr="009C06D1" w:rsidRDefault="009C06D1" w:rsidP="00384E92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R.NT.07.03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analyze the role of antagonists, protagonists, internal and external conflicts,</w:t>
            </w:r>
          </w:p>
          <w:p w:rsidR="009C06D1" w:rsidRPr="009C06D1" w:rsidRDefault="009C06D1" w:rsidP="00384E92">
            <w:pP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and abstract themes.</w:t>
            </w:r>
          </w:p>
          <w:p w:rsidR="009C06D1" w:rsidRPr="009C06D1" w:rsidRDefault="009C06D1" w:rsidP="00384E92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5</w:t>
            </w:r>
          </w:p>
        </w:tc>
        <w:tc>
          <w:tcPr>
            <w:tcW w:w="1080" w:type="dxa"/>
          </w:tcPr>
          <w:p w:rsidR="009C06D1" w:rsidRPr="009C06D1" w:rsidRDefault="004878E1" w:rsidP="00866241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88" w:type="dxa"/>
            <w:vMerge w:val="restart"/>
          </w:tcPr>
          <w:p w:rsidR="009C06D1" w:rsidRPr="009C06D1" w:rsidRDefault="004878E1" w:rsidP="00866241">
            <w:pPr>
              <w:jc w:val="center"/>
              <w:rPr>
                <w:b/>
              </w:rPr>
            </w:pPr>
            <w:r>
              <w:rPr>
                <w:b/>
              </w:rPr>
              <w:t>52%</w:t>
            </w: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6</w:t>
            </w:r>
          </w:p>
        </w:tc>
        <w:tc>
          <w:tcPr>
            <w:tcW w:w="108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 w:val="restart"/>
          </w:tcPr>
          <w:p w:rsidR="009C06D1" w:rsidRPr="009C06D1" w:rsidRDefault="009C06D1" w:rsidP="00C57D1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R.NT.07.04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analyze author’s craft including the use of theme, antagonists, protagonists, overstatement, understatement, and exaggeration.</w:t>
            </w: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1</w:t>
            </w:r>
          </w:p>
        </w:tc>
        <w:tc>
          <w:tcPr>
            <w:tcW w:w="108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188" w:type="dxa"/>
            <w:vMerge w:val="restart"/>
          </w:tcPr>
          <w:p w:rsidR="009C06D1" w:rsidRPr="009C06D1" w:rsidRDefault="004878E1" w:rsidP="00866241">
            <w:pPr>
              <w:jc w:val="center"/>
              <w:rPr>
                <w:b/>
              </w:rPr>
            </w:pPr>
            <w:r>
              <w:rPr>
                <w:b/>
              </w:rPr>
              <w:t>49%</w:t>
            </w: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10</w:t>
            </w:r>
          </w:p>
        </w:tc>
        <w:tc>
          <w:tcPr>
            <w:tcW w:w="108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11</w:t>
            </w:r>
          </w:p>
        </w:tc>
        <w:tc>
          <w:tcPr>
            <w:tcW w:w="108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12</w:t>
            </w:r>
          </w:p>
        </w:tc>
        <w:tc>
          <w:tcPr>
            <w:tcW w:w="108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15</w:t>
            </w:r>
          </w:p>
        </w:tc>
        <w:tc>
          <w:tcPr>
            <w:tcW w:w="108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17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0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188" w:type="dxa"/>
          </w:tcPr>
          <w:p w:rsidR="009C06D1" w:rsidRPr="009C06D1" w:rsidRDefault="00580DB4" w:rsidP="00866241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188" w:type="dxa"/>
            <w:vMerge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</w:p>
        </w:tc>
      </w:tr>
      <w:tr w:rsidR="009C06D1" w:rsidRPr="009C06D1" w:rsidTr="00551561">
        <w:tc>
          <w:tcPr>
            <w:tcW w:w="11952" w:type="dxa"/>
            <w:gridSpan w:val="8"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  <w:r w:rsidRPr="009C06D1">
              <w:rPr>
                <w:b/>
                <w:color w:val="FF0000"/>
                <w:sz w:val="32"/>
                <w:szCs w:val="32"/>
              </w:rPr>
              <w:t>INFORMATIONAL TEXT</w:t>
            </w:r>
          </w:p>
        </w:tc>
      </w:tr>
      <w:tr w:rsidR="009C06D1" w:rsidRPr="009C06D1" w:rsidTr="002118F7">
        <w:tc>
          <w:tcPr>
            <w:tcW w:w="4068" w:type="dxa"/>
          </w:tcPr>
          <w:p w:rsidR="009C06D1" w:rsidRPr="009C06D1" w:rsidRDefault="009C06D1" w:rsidP="00BA3F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R.IT.07.02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analyze organizational text patterns including sequential, compare/contrast, and cause/effect.</w:t>
            </w:r>
          </w:p>
          <w:p w:rsidR="009C06D1" w:rsidRPr="009C06D1" w:rsidRDefault="009C06D1" w:rsidP="00BA3F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4</w:t>
            </w:r>
          </w:p>
        </w:tc>
        <w:tc>
          <w:tcPr>
            <w:tcW w:w="1080" w:type="dxa"/>
          </w:tcPr>
          <w:p w:rsidR="009C06D1" w:rsidRPr="009C06D1" w:rsidRDefault="00C36116" w:rsidP="00BA3FAA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170" w:type="dxa"/>
          </w:tcPr>
          <w:p w:rsidR="009C06D1" w:rsidRPr="009C06D1" w:rsidRDefault="00C36116" w:rsidP="00BA3FAA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0" w:type="dxa"/>
          </w:tcPr>
          <w:p w:rsidR="009C06D1" w:rsidRPr="009C06D1" w:rsidRDefault="00C36116" w:rsidP="00BA3FAA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188" w:type="dxa"/>
          </w:tcPr>
          <w:p w:rsidR="009C06D1" w:rsidRPr="009C06D1" w:rsidRDefault="00C36116" w:rsidP="00BA3FAA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88" w:type="dxa"/>
          </w:tcPr>
          <w:p w:rsidR="009C06D1" w:rsidRPr="009C06D1" w:rsidRDefault="00C36116" w:rsidP="00BA3FAA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1188" w:type="dxa"/>
          </w:tcPr>
          <w:p w:rsidR="009C06D1" w:rsidRPr="009C06D1" w:rsidRDefault="004878E1" w:rsidP="00BA3FAA">
            <w:pPr>
              <w:jc w:val="center"/>
              <w:rPr>
                <w:b/>
              </w:rPr>
            </w:pPr>
            <w:r>
              <w:rPr>
                <w:b/>
              </w:rPr>
              <w:t>65%</w:t>
            </w:r>
          </w:p>
        </w:tc>
      </w:tr>
      <w:tr w:rsidR="009C06D1" w:rsidRPr="009C06D1" w:rsidTr="002118F7">
        <w:tc>
          <w:tcPr>
            <w:tcW w:w="4068" w:type="dxa"/>
          </w:tcPr>
          <w:p w:rsidR="009C06D1" w:rsidRPr="009C06D1" w:rsidRDefault="009C06D1" w:rsidP="00C57D1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R.IT.07.03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explain how authors use writer’s craft and text features including metaphors, similes, captions, diagrams, and appendices to enhance the under-standing of central, key, and supporting ideas.</w:t>
            </w:r>
          </w:p>
        </w:tc>
        <w:tc>
          <w:tcPr>
            <w:tcW w:w="1080" w:type="dxa"/>
          </w:tcPr>
          <w:p w:rsidR="009C06D1" w:rsidRPr="009C06D1" w:rsidRDefault="009C06D1" w:rsidP="00384E92">
            <w:pPr>
              <w:jc w:val="center"/>
              <w:rPr>
                <w:b/>
              </w:rPr>
            </w:pPr>
            <w:r w:rsidRPr="009C06D1">
              <w:rPr>
                <w:b/>
              </w:rPr>
              <w:t>2</w:t>
            </w:r>
          </w:p>
        </w:tc>
        <w:tc>
          <w:tcPr>
            <w:tcW w:w="1080" w:type="dxa"/>
          </w:tcPr>
          <w:p w:rsidR="009C06D1" w:rsidRPr="009C06D1" w:rsidRDefault="00C36116" w:rsidP="00866241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9C06D1" w:rsidRPr="009C06D1" w:rsidRDefault="00C36116" w:rsidP="00866241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90" w:type="dxa"/>
          </w:tcPr>
          <w:p w:rsidR="009C06D1" w:rsidRPr="009C06D1" w:rsidRDefault="00C36116" w:rsidP="0086624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8" w:type="dxa"/>
          </w:tcPr>
          <w:p w:rsidR="009C06D1" w:rsidRPr="009C06D1" w:rsidRDefault="00C36116" w:rsidP="00866241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188" w:type="dxa"/>
          </w:tcPr>
          <w:p w:rsidR="009C06D1" w:rsidRPr="009C06D1" w:rsidRDefault="00C36116" w:rsidP="00866241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88" w:type="dxa"/>
          </w:tcPr>
          <w:p w:rsidR="009C06D1" w:rsidRPr="009C06D1" w:rsidRDefault="004878E1" w:rsidP="00866241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9C06D1" w:rsidRPr="009C06D1" w:rsidTr="002118F7">
        <w:tc>
          <w:tcPr>
            <w:tcW w:w="4068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80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188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188" w:type="dxa"/>
            <w:shd w:val="clear" w:color="auto" w:fill="B2A1C7" w:themeFill="accent4" w:themeFillTint="99"/>
          </w:tcPr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AVERAGE</w:t>
            </w:r>
          </w:p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PERCENT</w:t>
            </w:r>
          </w:p>
          <w:p w:rsidR="009C06D1" w:rsidRPr="009C06D1" w:rsidRDefault="009C06D1" w:rsidP="00537DAF">
            <w:pPr>
              <w:jc w:val="center"/>
              <w:rPr>
                <w:b/>
                <w:sz w:val="20"/>
                <w:szCs w:val="20"/>
              </w:rPr>
            </w:pPr>
            <w:r w:rsidRPr="009C06D1">
              <w:rPr>
                <w:b/>
                <w:sz w:val="20"/>
                <w:szCs w:val="20"/>
              </w:rPr>
              <w:t>PROFICIENT</w:t>
            </w:r>
          </w:p>
        </w:tc>
      </w:tr>
      <w:tr w:rsidR="009C06D1" w:rsidRPr="009C06D1" w:rsidTr="00FD64B2">
        <w:tc>
          <w:tcPr>
            <w:tcW w:w="11952" w:type="dxa"/>
            <w:gridSpan w:val="8"/>
          </w:tcPr>
          <w:p w:rsidR="009C06D1" w:rsidRPr="009C06D1" w:rsidRDefault="009C06D1" w:rsidP="00866241">
            <w:pPr>
              <w:jc w:val="center"/>
              <w:rPr>
                <w:b/>
              </w:rPr>
            </w:pPr>
            <w:r w:rsidRPr="009C06D1">
              <w:rPr>
                <w:b/>
                <w:color w:val="FF0000"/>
                <w:sz w:val="32"/>
                <w:szCs w:val="32"/>
              </w:rPr>
              <w:t xml:space="preserve">COMPREHENSION </w:t>
            </w:r>
          </w:p>
        </w:tc>
      </w:tr>
      <w:tr w:rsidR="009C06D1" w:rsidRPr="009C06D1" w:rsidTr="002118F7">
        <w:tc>
          <w:tcPr>
            <w:tcW w:w="4068" w:type="dxa"/>
          </w:tcPr>
          <w:p w:rsidR="009C06D1" w:rsidRPr="009C06D1" w:rsidRDefault="009C06D1" w:rsidP="00537DA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R.CM.07.01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connect personal knowledge, experiences, and under-standing of the world to themes and perspectives in text through oral and written responses.</w:t>
            </w:r>
          </w:p>
        </w:tc>
        <w:tc>
          <w:tcPr>
            <w:tcW w:w="1080" w:type="dxa"/>
          </w:tcPr>
          <w:p w:rsidR="009C06D1" w:rsidRPr="009C06D1" w:rsidRDefault="009C06D1" w:rsidP="00537DAF">
            <w:pPr>
              <w:jc w:val="center"/>
              <w:rPr>
                <w:b/>
              </w:rPr>
            </w:pPr>
            <w:r w:rsidRPr="009C06D1">
              <w:rPr>
                <w:b/>
              </w:rPr>
              <w:t>16</w:t>
            </w:r>
          </w:p>
        </w:tc>
        <w:tc>
          <w:tcPr>
            <w:tcW w:w="1080" w:type="dxa"/>
          </w:tcPr>
          <w:p w:rsidR="009C06D1" w:rsidRPr="009C06D1" w:rsidRDefault="00A34B6E" w:rsidP="00866241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70" w:type="dxa"/>
          </w:tcPr>
          <w:p w:rsidR="009C06D1" w:rsidRPr="009C06D1" w:rsidRDefault="00A34B6E" w:rsidP="00866241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9C06D1" w:rsidRPr="009C06D1" w:rsidRDefault="00A34B6E" w:rsidP="0086624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8" w:type="dxa"/>
          </w:tcPr>
          <w:p w:rsidR="009C06D1" w:rsidRPr="009C06D1" w:rsidRDefault="00A34B6E" w:rsidP="00866241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88" w:type="dxa"/>
          </w:tcPr>
          <w:p w:rsidR="009C06D1" w:rsidRPr="009C06D1" w:rsidRDefault="00A34B6E" w:rsidP="00866241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88" w:type="dxa"/>
          </w:tcPr>
          <w:p w:rsidR="009C06D1" w:rsidRPr="009C06D1" w:rsidRDefault="004878E1" w:rsidP="00866241">
            <w:pPr>
              <w:jc w:val="center"/>
              <w:rPr>
                <w:b/>
              </w:rPr>
            </w:pPr>
            <w:r>
              <w:rPr>
                <w:b/>
              </w:rPr>
              <w:t>55%</w:t>
            </w:r>
          </w:p>
        </w:tc>
      </w:tr>
      <w:tr w:rsidR="009C06D1" w:rsidRPr="009C06D1" w:rsidTr="002118F7">
        <w:tc>
          <w:tcPr>
            <w:tcW w:w="4068" w:type="dxa"/>
            <w:vMerge w:val="restart"/>
          </w:tcPr>
          <w:p w:rsidR="009C06D1" w:rsidRPr="009C06D1" w:rsidRDefault="009C06D1" w:rsidP="00BA3FAA">
            <w:pP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R.CM.07.02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retell through concise summarization grade-level narrative and informational text.</w:t>
            </w:r>
          </w:p>
          <w:p w:rsidR="009C06D1" w:rsidRPr="009C06D1" w:rsidRDefault="009C06D1" w:rsidP="00BA3FAA">
            <w:pP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  <w:p w:rsidR="009C06D1" w:rsidRPr="009C06D1" w:rsidRDefault="009C06D1" w:rsidP="00BA3FAA">
            <w:pP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  <w:p w:rsidR="009C06D1" w:rsidRPr="009C06D1" w:rsidRDefault="009C06D1" w:rsidP="00BA3FAA">
            <w:pPr>
              <w:rPr>
                <w:rFonts w:ascii="GillSans-Light" w:hAnsi="GillSans-Light" w:cs="GillSans-Light"/>
                <w:b/>
                <w:color w:val="272525"/>
                <w:sz w:val="20"/>
                <w:szCs w:val="20"/>
                <w:u w:val="single"/>
              </w:rPr>
            </w:pPr>
          </w:p>
          <w:p w:rsidR="009C06D1" w:rsidRPr="009C06D1" w:rsidRDefault="009C06D1" w:rsidP="00BA3FAA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14</w:t>
            </w:r>
          </w:p>
        </w:tc>
        <w:tc>
          <w:tcPr>
            <w:tcW w:w="108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17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0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  <w:vMerge w:val="restart"/>
          </w:tcPr>
          <w:p w:rsidR="009C06D1" w:rsidRPr="009C06D1" w:rsidRDefault="004878E1" w:rsidP="00BA3FAA">
            <w:pPr>
              <w:jc w:val="center"/>
              <w:rPr>
                <w:b/>
              </w:rPr>
            </w:pPr>
            <w:r>
              <w:rPr>
                <w:b/>
              </w:rPr>
              <w:t>45%</w:t>
            </w: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BA3FAA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23</w:t>
            </w:r>
          </w:p>
        </w:tc>
        <w:tc>
          <w:tcPr>
            <w:tcW w:w="108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7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188" w:type="dxa"/>
            <w:vMerge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BA3FAA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24</w:t>
            </w:r>
          </w:p>
        </w:tc>
        <w:tc>
          <w:tcPr>
            <w:tcW w:w="108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7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90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88" w:type="dxa"/>
            <w:vMerge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BA3FAA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25</w:t>
            </w:r>
          </w:p>
        </w:tc>
        <w:tc>
          <w:tcPr>
            <w:tcW w:w="108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7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90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8" w:type="dxa"/>
            <w:vMerge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BA3FAA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26</w:t>
            </w:r>
          </w:p>
        </w:tc>
        <w:tc>
          <w:tcPr>
            <w:tcW w:w="108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7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1188" w:type="dxa"/>
            <w:vMerge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BA3FAA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  <w:r w:rsidRPr="009C06D1">
              <w:rPr>
                <w:b/>
              </w:rPr>
              <w:t>30</w:t>
            </w:r>
          </w:p>
        </w:tc>
        <w:tc>
          <w:tcPr>
            <w:tcW w:w="108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170" w:type="dxa"/>
          </w:tcPr>
          <w:p w:rsidR="009C06D1" w:rsidRPr="009C06D1" w:rsidRDefault="00A34B6E" w:rsidP="00BA3FAA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0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188" w:type="dxa"/>
          </w:tcPr>
          <w:p w:rsidR="009C06D1" w:rsidRPr="009C06D1" w:rsidRDefault="001D58C1" w:rsidP="00BA3FAA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88" w:type="dxa"/>
            <w:vMerge/>
          </w:tcPr>
          <w:p w:rsidR="009C06D1" w:rsidRPr="009C06D1" w:rsidRDefault="009C06D1" w:rsidP="00BA3FAA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 w:val="restart"/>
          </w:tcPr>
          <w:p w:rsidR="009C06D1" w:rsidRPr="009C06D1" w:rsidRDefault="009C06D1" w:rsidP="002A4DF8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9C06D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R.CM.07.03 </w:t>
            </w:r>
            <w:r w:rsidRPr="009C06D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analyze global themes, universal truths, and principles within and across texts to create a deeper understanding by drawing conclusions, making inferences, and synthesizing.</w:t>
            </w: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7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188" w:type="dxa"/>
            <w:vMerge w:val="restart"/>
          </w:tcPr>
          <w:p w:rsidR="009C06D1" w:rsidRPr="009C06D1" w:rsidRDefault="004878E1" w:rsidP="002A4DF8">
            <w:pPr>
              <w:jc w:val="center"/>
              <w:rPr>
                <w:b/>
              </w:rPr>
            </w:pPr>
            <w:r>
              <w:rPr>
                <w:b/>
              </w:rPr>
              <w:t>49%</w:t>
            </w:r>
            <w:bookmarkStart w:id="0" w:name="_GoBack"/>
            <w:bookmarkEnd w:id="0"/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8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13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17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18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19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20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21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22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27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  <w:tr w:rsidR="009C06D1" w:rsidRPr="009C06D1" w:rsidTr="002118F7">
        <w:tc>
          <w:tcPr>
            <w:tcW w:w="4068" w:type="dxa"/>
            <w:vMerge/>
          </w:tcPr>
          <w:p w:rsidR="009C06D1" w:rsidRPr="009C06D1" w:rsidRDefault="009C06D1" w:rsidP="002A4DF8">
            <w:pPr>
              <w:rPr>
                <w:b/>
              </w:rPr>
            </w:pPr>
          </w:p>
        </w:tc>
        <w:tc>
          <w:tcPr>
            <w:tcW w:w="1080" w:type="dxa"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  <w:r w:rsidRPr="009C06D1">
              <w:rPr>
                <w:b/>
              </w:rPr>
              <w:t>29</w:t>
            </w:r>
          </w:p>
        </w:tc>
        <w:tc>
          <w:tcPr>
            <w:tcW w:w="108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170" w:type="dxa"/>
          </w:tcPr>
          <w:p w:rsidR="009C06D1" w:rsidRPr="009C06D1" w:rsidRDefault="00A34B6E" w:rsidP="002A4DF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88" w:type="dxa"/>
          </w:tcPr>
          <w:p w:rsidR="009C06D1" w:rsidRPr="009C06D1" w:rsidRDefault="001D58C1" w:rsidP="002A4DF8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88" w:type="dxa"/>
            <w:vMerge/>
          </w:tcPr>
          <w:p w:rsidR="009C06D1" w:rsidRPr="009C06D1" w:rsidRDefault="009C06D1" w:rsidP="002A4DF8">
            <w:pPr>
              <w:jc w:val="center"/>
              <w:rPr>
                <w:b/>
              </w:rPr>
            </w:pPr>
          </w:p>
        </w:tc>
      </w:tr>
    </w:tbl>
    <w:p w:rsidR="0051730E" w:rsidRPr="009C06D1" w:rsidRDefault="0051730E">
      <w:pPr>
        <w:rPr>
          <w:b/>
        </w:rPr>
      </w:pPr>
    </w:p>
    <w:sectPr w:rsidR="0051730E" w:rsidRPr="009C06D1" w:rsidSect="009C06D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99E" w:rsidRDefault="0021199E" w:rsidP="00C57D14">
      <w:pPr>
        <w:spacing w:after="0" w:line="240" w:lineRule="auto"/>
      </w:pPr>
      <w:r>
        <w:separator/>
      </w:r>
    </w:p>
  </w:endnote>
  <w:endnote w:type="continuationSeparator" w:id="0">
    <w:p w:rsidR="0021199E" w:rsidRDefault="0021199E" w:rsidP="00C5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14" w:rsidRDefault="00AC181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  <w:r w:rsidR="00C57D14">
      <w:rPr>
        <w:rFonts w:asciiTheme="majorHAnsi" w:eastAsiaTheme="majorEastAsia" w:hAnsiTheme="majorHAnsi" w:cstheme="majorBidi"/>
      </w:rPr>
      <w:ptab w:relativeTo="margin" w:alignment="right" w:leader="none"/>
    </w:r>
    <w:r w:rsidR="00C57D14">
      <w:rPr>
        <w:rFonts w:asciiTheme="majorHAnsi" w:eastAsiaTheme="majorEastAsia" w:hAnsiTheme="majorHAnsi" w:cstheme="majorBidi"/>
      </w:rPr>
      <w:t xml:space="preserve">Page </w:t>
    </w:r>
    <w:r w:rsidR="00C57D14">
      <w:rPr>
        <w:rFonts w:eastAsiaTheme="minorEastAsia"/>
      </w:rPr>
      <w:fldChar w:fldCharType="begin"/>
    </w:r>
    <w:r w:rsidR="00C57D14">
      <w:instrText xml:space="preserve"> PAGE   \* MERGEFORMAT </w:instrText>
    </w:r>
    <w:r w:rsidR="00C57D14">
      <w:rPr>
        <w:rFonts w:eastAsiaTheme="minorEastAsia"/>
      </w:rPr>
      <w:fldChar w:fldCharType="separate"/>
    </w:r>
    <w:r w:rsidR="004878E1" w:rsidRPr="004878E1">
      <w:rPr>
        <w:rFonts w:asciiTheme="majorHAnsi" w:eastAsiaTheme="majorEastAsia" w:hAnsiTheme="majorHAnsi" w:cstheme="majorBidi"/>
        <w:noProof/>
      </w:rPr>
      <w:t>2</w:t>
    </w:r>
    <w:r w:rsidR="00C57D14">
      <w:rPr>
        <w:rFonts w:asciiTheme="majorHAnsi" w:eastAsiaTheme="majorEastAsia" w:hAnsiTheme="majorHAnsi" w:cstheme="majorBidi"/>
        <w:noProof/>
      </w:rPr>
      <w:fldChar w:fldCharType="end"/>
    </w:r>
  </w:p>
  <w:p w:rsidR="00C57D14" w:rsidRDefault="00C57D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99E" w:rsidRDefault="0021199E" w:rsidP="00C57D14">
      <w:pPr>
        <w:spacing w:after="0" w:line="240" w:lineRule="auto"/>
      </w:pPr>
      <w:r>
        <w:separator/>
      </w:r>
    </w:p>
  </w:footnote>
  <w:footnote w:type="continuationSeparator" w:id="0">
    <w:p w:rsidR="0021199E" w:rsidRDefault="0021199E" w:rsidP="00C5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14" w:rsidRDefault="00D62007">
    <w:pPr>
      <w:pStyle w:val="Header"/>
    </w:pPr>
    <w:r>
      <w:t>PALMER PARK PREPARATORY ACADEMY</w:t>
    </w:r>
    <w:r w:rsidR="00C57D14">
      <w:t xml:space="preserve">                                RANKED GLCE’S        GRADE </w:t>
    </w:r>
    <w:r w:rsidR="00C57D14" w:rsidRPr="00C57D14">
      <w:t>8</w:t>
    </w:r>
    <w:r w:rsidR="00C57D14">
      <w:t xml:space="preserve">              </w:t>
    </w:r>
    <w:r>
      <w:t xml:space="preserve">                                </w:t>
    </w:r>
    <w:r w:rsidR="00C57D14" w:rsidRPr="00C57D14">
      <w:t>READING</w:t>
    </w:r>
    <w:r w:rsidR="00C57D14" w:rsidRPr="00C57D14">
      <w:ptab w:relativeTo="margin" w:alignment="lef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77012"/>
    <w:rsid w:val="000A7467"/>
    <w:rsid w:val="00116C58"/>
    <w:rsid w:val="00121AB7"/>
    <w:rsid w:val="00171E28"/>
    <w:rsid w:val="00172CF9"/>
    <w:rsid w:val="001D58C1"/>
    <w:rsid w:val="001F48C4"/>
    <w:rsid w:val="0021199E"/>
    <w:rsid w:val="002C1CB5"/>
    <w:rsid w:val="00384E92"/>
    <w:rsid w:val="00405E65"/>
    <w:rsid w:val="004752E9"/>
    <w:rsid w:val="004878E1"/>
    <w:rsid w:val="0051730E"/>
    <w:rsid w:val="00580DB4"/>
    <w:rsid w:val="00590F3E"/>
    <w:rsid w:val="008446FD"/>
    <w:rsid w:val="00866241"/>
    <w:rsid w:val="00901139"/>
    <w:rsid w:val="009C06D1"/>
    <w:rsid w:val="00A34B6E"/>
    <w:rsid w:val="00A63608"/>
    <w:rsid w:val="00AA69CF"/>
    <w:rsid w:val="00AC1818"/>
    <w:rsid w:val="00AE7386"/>
    <w:rsid w:val="00B27ED2"/>
    <w:rsid w:val="00BB74A9"/>
    <w:rsid w:val="00C36116"/>
    <w:rsid w:val="00C57D14"/>
    <w:rsid w:val="00CA1AEA"/>
    <w:rsid w:val="00D62007"/>
    <w:rsid w:val="00D9588B"/>
    <w:rsid w:val="00D96DC6"/>
    <w:rsid w:val="00DB4839"/>
    <w:rsid w:val="00E12335"/>
    <w:rsid w:val="00EA6814"/>
    <w:rsid w:val="00EA7DD5"/>
    <w:rsid w:val="00F06596"/>
    <w:rsid w:val="00F4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7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D14"/>
  </w:style>
  <w:style w:type="paragraph" w:styleId="Footer">
    <w:name w:val="footer"/>
    <w:basedOn w:val="Normal"/>
    <w:link w:val="FooterChar"/>
    <w:uiPriority w:val="99"/>
    <w:unhideWhenUsed/>
    <w:rsid w:val="00C57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D14"/>
  </w:style>
  <w:style w:type="paragraph" w:styleId="BalloonText">
    <w:name w:val="Balloon Text"/>
    <w:basedOn w:val="Normal"/>
    <w:link w:val="BalloonTextChar"/>
    <w:uiPriority w:val="99"/>
    <w:semiHidden/>
    <w:unhideWhenUsed/>
    <w:rsid w:val="00C5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7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D14"/>
  </w:style>
  <w:style w:type="paragraph" w:styleId="Footer">
    <w:name w:val="footer"/>
    <w:basedOn w:val="Normal"/>
    <w:link w:val="FooterChar"/>
    <w:uiPriority w:val="99"/>
    <w:unhideWhenUsed/>
    <w:rsid w:val="00C57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D14"/>
  </w:style>
  <w:style w:type="paragraph" w:styleId="BalloonText">
    <w:name w:val="Balloon Text"/>
    <w:basedOn w:val="Normal"/>
    <w:link w:val="BalloonTextChar"/>
    <w:uiPriority w:val="99"/>
    <w:semiHidden/>
    <w:unhideWhenUsed/>
    <w:rsid w:val="00C5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7</cp:revision>
  <cp:lastPrinted>2011-04-27T12:26:00Z</cp:lastPrinted>
  <dcterms:created xsi:type="dcterms:W3CDTF">2012-09-19T18:31:00Z</dcterms:created>
  <dcterms:modified xsi:type="dcterms:W3CDTF">2012-09-20T00:06:00Z</dcterms:modified>
</cp:coreProperties>
</file>